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5B" w:rsidRPr="00830A02" w:rsidRDefault="00BA7D5B" w:rsidP="00BA7D5B">
      <w:pPr>
        <w:spacing w:after="120"/>
        <w:rPr>
          <w:sz w:val="40"/>
          <w:szCs w:val="40"/>
          <w:u w:val="single"/>
        </w:rPr>
      </w:pPr>
      <w:r w:rsidRPr="00830A02">
        <w:rPr>
          <w:sz w:val="40"/>
          <w:szCs w:val="40"/>
          <w:u w:val="single"/>
        </w:rPr>
        <w:t>Presseinformation</w:t>
      </w:r>
    </w:p>
    <w:p w:rsidR="00BA7D5B" w:rsidRPr="008D5675" w:rsidRDefault="00BA7D5B" w:rsidP="00BA7D5B">
      <w:pPr>
        <w:spacing w:after="480"/>
        <w:rPr>
          <w:sz w:val="22"/>
          <w:szCs w:val="22"/>
        </w:rPr>
      </w:pPr>
      <w:r w:rsidRPr="008D5675">
        <w:rPr>
          <w:sz w:val="22"/>
          <w:szCs w:val="22"/>
        </w:rPr>
        <w:t xml:space="preserve">Sulzburg, </w:t>
      </w:r>
      <w:r w:rsidR="00AB5067">
        <w:rPr>
          <w:sz w:val="22"/>
          <w:szCs w:val="22"/>
        </w:rPr>
        <w:t>2</w:t>
      </w:r>
      <w:r w:rsidRPr="008D5675">
        <w:rPr>
          <w:sz w:val="22"/>
          <w:szCs w:val="22"/>
        </w:rPr>
        <w:t xml:space="preserve">. </w:t>
      </w:r>
      <w:r w:rsidR="005D7727">
        <w:rPr>
          <w:sz w:val="22"/>
          <w:szCs w:val="22"/>
        </w:rPr>
        <w:t>April</w:t>
      </w:r>
      <w:r w:rsidRPr="008D5675">
        <w:rPr>
          <w:sz w:val="22"/>
          <w:szCs w:val="22"/>
        </w:rPr>
        <w:t xml:space="preserve"> 2019</w:t>
      </w:r>
    </w:p>
    <w:p w:rsidR="00BA7D5B" w:rsidRPr="002202FA" w:rsidRDefault="002202FA" w:rsidP="00BA7D5B">
      <w:pPr>
        <w:suppressAutoHyphens/>
        <w:spacing w:line="360" w:lineRule="auto"/>
        <w:ind w:right="283"/>
        <w:rPr>
          <w:b/>
          <w:sz w:val="22"/>
          <w:szCs w:val="22"/>
        </w:rPr>
      </w:pPr>
      <w:r w:rsidRPr="002202FA">
        <w:rPr>
          <w:b/>
          <w:sz w:val="22"/>
          <w:szCs w:val="22"/>
        </w:rPr>
        <w:t xml:space="preserve">Nie ohne </w:t>
      </w:r>
      <w:proofErr w:type="spellStart"/>
      <w:r w:rsidRPr="002202FA">
        <w:rPr>
          <w:b/>
          <w:bCs/>
          <w:sz w:val="22"/>
          <w:szCs w:val="22"/>
        </w:rPr>
        <w:t>DIBt</w:t>
      </w:r>
      <w:proofErr w:type="spellEnd"/>
      <w:r w:rsidRPr="002202FA">
        <w:rPr>
          <w:b/>
          <w:bCs/>
          <w:sz w:val="22"/>
          <w:szCs w:val="22"/>
        </w:rPr>
        <w:t>-Zulassung</w:t>
      </w:r>
    </w:p>
    <w:p w:rsidR="00BA7D5B" w:rsidRPr="00830A02" w:rsidRDefault="00A52879" w:rsidP="00BA7D5B">
      <w:pPr>
        <w:pStyle w:val="berschrift3"/>
        <w:suppressAutoHyphens/>
        <w:spacing w:after="100" w:afterAutospacing="1"/>
        <w:rPr>
          <w:rFonts w:cs="Arial"/>
          <w:bCs/>
        </w:rPr>
      </w:pPr>
      <w:r>
        <w:rPr>
          <w:rFonts w:cs="Arial"/>
          <w:bCs/>
        </w:rPr>
        <w:t>BHE warnt vor nicht zugelassenen Feststellanlagen</w:t>
      </w:r>
    </w:p>
    <w:p w:rsidR="00F47EDB" w:rsidRPr="00F47EDB" w:rsidRDefault="00F47EDB" w:rsidP="00F47EDB">
      <w:pPr>
        <w:autoSpaceDE w:val="0"/>
        <w:autoSpaceDN w:val="0"/>
        <w:adjustRightInd w:val="0"/>
        <w:spacing w:line="360" w:lineRule="auto"/>
        <w:rPr>
          <w:b/>
          <w:sz w:val="22"/>
          <w:szCs w:val="22"/>
        </w:rPr>
      </w:pPr>
      <w:r w:rsidRPr="00F47EDB">
        <w:rPr>
          <w:b/>
          <w:sz w:val="22"/>
          <w:szCs w:val="22"/>
        </w:rPr>
        <w:t>Brandschutztüren erfüllen eine wichtige Funktion im B</w:t>
      </w:r>
      <w:r w:rsidR="00B722B7">
        <w:rPr>
          <w:b/>
          <w:sz w:val="22"/>
          <w:szCs w:val="22"/>
        </w:rPr>
        <w:t>r</w:t>
      </w:r>
      <w:r w:rsidRPr="00F47EDB">
        <w:rPr>
          <w:b/>
          <w:sz w:val="22"/>
          <w:szCs w:val="22"/>
        </w:rPr>
        <w:t xml:space="preserve">andschutz. Sie verhindern, dass Rauch und Feuer im Ernstfall von einem auf den anderen Brandabschnitt übergreifen können. Werden solche Türen </w:t>
      </w:r>
      <w:proofErr w:type="gramStart"/>
      <w:r w:rsidRPr="00F47EDB">
        <w:rPr>
          <w:b/>
          <w:sz w:val="22"/>
          <w:szCs w:val="22"/>
        </w:rPr>
        <w:t>offen</w:t>
      </w:r>
      <w:r w:rsidR="00427C1B">
        <w:rPr>
          <w:b/>
          <w:sz w:val="22"/>
          <w:szCs w:val="22"/>
        </w:rPr>
        <w:t xml:space="preserve"> </w:t>
      </w:r>
      <w:r w:rsidRPr="00F47EDB">
        <w:rPr>
          <w:b/>
          <w:sz w:val="22"/>
          <w:szCs w:val="22"/>
        </w:rPr>
        <w:t>gehalten</w:t>
      </w:r>
      <w:proofErr w:type="gramEnd"/>
      <w:r w:rsidRPr="00F47EDB">
        <w:rPr>
          <w:b/>
          <w:sz w:val="22"/>
          <w:szCs w:val="22"/>
        </w:rPr>
        <w:t xml:space="preserve">, müssen dafür zugelassene Feststellanlagen verwendet werden. Der BHE, Bundesverband Sicherheitstechnik e. V., weist in einer aktuellen Stellungnahme nachdrücklich darauf hin, dass an Brandschutztüren ausschließlich </w:t>
      </w:r>
      <w:proofErr w:type="spellStart"/>
      <w:r w:rsidRPr="00F47EDB">
        <w:rPr>
          <w:b/>
          <w:sz w:val="22"/>
          <w:szCs w:val="22"/>
        </w:rPr>
        <w:t>DIBt</w:t>
      </w:r>
      <w:proofErr w:type="spellEnd"/>
      <w:r w:rsidRPr="00F47EDB">
        <w:rPr>
          <w:b/>
          <w:sz w:val="22"/>
          <w:szCs w:val="22"/>
        </w:rPr>
        <w:t>-zugelassene Feststellanlagen installiert werden dürfen.</w:t>
      </w:r>
      <w:bookmarkStart w:id="0" w:name="_GoBack"/>
      <w:bookmarkEnd w:id="0"/>
    </w:p>
    <w:p w:rsidR="00F47EDB" w:rsidRPr="00F47EDB" w:rsidRDefault="00F47EDB" w:rsidP="00F47EDB">
      <w:pPr>
        <w:rPr>
          <w:sz w:val="22"/>
          <w:szCs w:val="22"/>
        </w:rPr>
      </w:pPr>
    </w:p>
    <w:p w:rsidR="00F47EDB" w:rsidRPr="00F47EDB" w:rsidRDefault="00F47EDB" w:rsidP="00A52879">
      <w:pPr>
        <w:spacing w:line="360" w:lineRule="auto"/>
        <w:rPr>
          <w:sz w:val="22"/>
          <w:szCs w:val="22"/>
        </w:rPr>
      </w:pPr>
      <w:r w:rsidRPr="00F47EDB">
        <w:rPr>
          <w:sz w:val="22"/>
          <w:szCs w:val="22"/>
        </w:rPr>
        <w:t>Laut BHE werden derzeit in Deutschland nachrüstbare Feststellvorrichtungen für Brandschutztüren angeboten, die den Eindruck erwecken, sie dürften als Feststellanlagen für Feuerschutzabschlüsse verwendet werden. Diese Produkte sind zwar nach DIN EN 1155 „Schlösser und Baubeschläge - Elektrisch betriebene Feststellvorrichtungen für Drehflügeltüren“ als Feststellvorrichtung geprüft, aber nur hinsichtlich der Beschläge.</w:t>
      </w:r>
      <w:r w:rsidR="00A52879">
        <w:rPr>
          <w:sz w:val="22"/>
          <w:szCs w:val="22"/>
        </w:rPr>
        <w:t xml:space="preserve"> </w:t>
      </w:r>
      <w:r w:rsidRPr="00F47EDB">
        <w:rPr>
          <w:sz w:val="22"/>
          <w:szCs w:val="22"/>
        </w:rPr>
        <w:t xml:space="preserve">Diese nachrüstbaren Feststellanlagen entsprechen somit nicht der Definition „Feststellanlage“, die in den </w:t>
      </w:r>
      <w:proofErr w:type="spellStart"/>
      <w:r w:rsidRPr="00F47EDB">
        <w:rPr>
          <w:sz w:val="22"/>
          <w:szCs w:val="22"/>
        </w:rPr>
        <w:t>DIBt</w:t>
      </w:r>
      <w:proofErr w:type="spellEnd"/>
      <w:r w:rsidRPr="00F47EDB">
        <w:rPr>
          <w:sz w:val="22"/>
          <w:szCs w:val="22"/>
        </w:rPr>
        <w:t>-Richtlinien festgeschrieben ist. Demnach sind Feststellanlagen Geräte oder Gerätekombinationen, die geeignet sind, die Funktion von Schließmitteln kontrolliert unwirksam zu machen. Die Richtlinien beschreiben ebenfalls die erforderliche Mindestausstattung: Eine Feststellanlage besteht aus mindestens einem Brandmelder, einer Auslösevorrichtung, einer Feststellvorrichtung und einer Energieversorgung. Ein wichtiger Grundsatz ist: Alle systemzugehörigen Teile müssen zusammen geprüft und zugelassen werden. Ein einziges nicht zugelassenes Teil hat zur Folge, dass die gesamte Anlage nicht zugelassen ist!</w:t>
      </w:r>
    </w:p>
    <w:p w:rsidR="00F47EDB" w:rsidRPr="00F47EDB" w:rsidRDefault="00F47EDB" w:rsidP="00A52879">
      <w:pPr>
        <w:spacing w:line="360" w:lineRule="auto"/>
        <w:rPr>
          <w:sz w:val="22"/>
          <w:szCs w:val="22"/>
        </w:rPr>
      </w:pPr>
      <w:r w:rsidRPr="00F47EDB">
        <w:rPr>
          <w:sz w:val="22"/>
          <w:szCs w:val="22"/>
        </w:rPr>
        <w:t xml:space="preserve">Systeme, die durch ein akustisches Signal eines Rauchwarnmelders oder einer Alarmsirene ausgelöst werden, sind nicht </w:t>
      </w:r>
      <w:proofErr w:type="spellStart"/>
      <w:r w:rsidRPr="00F47EDB">
        <w:rPr>
          <w:sz w:val="22"/>
          <w:szCs w:val="22"/>
        </w:rPr>
        <w:t>DIBt</w:t>
      </w:r>
      <w:proofErr w:type="spellEnd"/>
      <w:r w:rsidRPr="00F47EDB">
        <w:rPr>
          <w:sz w:val="22"/>
          <w:szCs w:val="22"/>
        </w:rPr>
        <w:t>-konform und entsprechen nicht den allgemein anerkannten Regeln der Technik.</w:t>
      </w:r>
    </w:p>
    <w:p w:rsidR="00F47EDB" w:rsidRPr="00F47EDB" w:rsidRDefault="00F47EDB" w:rsidP="00A52879">
      <w:pPr>
        <w:spacing w:line="360" w:lineRule="auto"/>
        <w:rPr>
          <w:sz w:val="22"/>
          <w:szCs w:val="22"/>
        </w:rPr>
      </w:pPr>
      <w:r w:rsidRPr="00F47EDB">
        <w:rPr>
          <w:sz w:val="22"/>
          <w:szCs w:val="22"/>
        </w:rPr>
        <w:t xml:space="preserve">Oliver Eckerle, Produktmanager Markt bei Hekatron Brandschutz, betont: „Wir vom BHE weisen Bauherren und Gebäudebetreiber eindringlich darauf hin, dass die Verwendung nicht </w:t>
      </w:r>
      <w:proofErr w:type="spellStart"/>
      <w:r w:rsidRPr="00F47EDB">
        <w:rPr>
          <w:sz w:val="22"/>
          <w:szCs w:val="22"/>
        </w:rPr>
        <w:t>DIBt</w:t>
      </w:r>
      <w:proofErr w:type="spellEnd"/>
      <w:r w:rsidR="00A52879">
        <w:rPr>
          <w:sz w:val="22"/>
          <w:szCs w:val="22"/>
        </w:rPr>
        <w:t xml:space="preserve">-zugelassener Produkte </w:t>
      </w:r>
      <w:r w:rsidRPr="00F47EDB">
        <w:rPr>
          <w:sz w:val="22"/>
          <w:szCs w:val="22"/>
        </w:rPr>
        <w:t xml:space="preserve">an Brandschutztüren gegen das Bauordnungsrecht verstößt. </w:t>
      </w:r>
      <w:r w:rsidRPr="00F47EDB">
        <w:rPr>
          <w:sz w:val="22"/>
          <w:szCs w:val="22"/>
        </w:rPr>
        <w:lastRenderedPageBreak/>
        <w:t>Das kann dazu führen, dass die bauaufsichtliche Betriebsgenehmigung für das Gebäude erlischt bzw. der Bestandsschutz verloren geht.“</w:t>
      </w:r>
    </w:p>
    <w:p w:rsidR="00F47EDB" w:rsidRDefault="00F47EDB" w:rsidP="00A52879">
      <w:pPr>
        <w:spacing w:line="360" w:lineRule="auto"/>
        <w:rPr>
          <w:sz w:val="22"/>
          <w:szCs w:val="22"/>
        </w:rPr>
      </w:pPr>
      <w:r w:rsidRPr="00F47EDB">
        <w:rPr>
          <w:sz w:val="22"/>
          <w:szCs w:val="22"/>
        </w:rPr>
        <w:t>Um auf der sicheren Seite zu sein, sollten Bauherren und Gebäudebetreiber deshalb die Installation, Abnahme und spätere Wartung ausschließlich von autorisierten Fachkräften durchführen lassen, führt Eckerle weiter aus.</w:t>
      </w:r>
    </w:p>
    <w:p w:rsidR="00BA7D5B" w:rsidRDefault="00F47EDB" w:rsidP="00A52879">
      <w:pPr>
        <w:suppressAutoHyphens/>
        <w:spacing w:line="360" w:lineRule="auto"/>
        <w:rPr>
          <w:sz w:val="22"/>
          <w:szCs w:val="22"/>
        </w:rPr>
      </w:pPr>
      <w:r w:rsidRPr="00F47EDB">
        <w:rPr>
          <w:sz w:val="22"/>
          <w:szCs w:val="22"/>
        </w:rPr>
        <w:t xml:space="preserve">Die BHE-Datenbank im Internet unter </w:t>
      </w:r>
      <w:hyperlink r:id="rId7" w:history="1">
        <w:r w:rsidRPr="00F47EDB">
          <w:rPr>
            <w:rStyle w:val="Hyperlink"/>
            <w:sz w:val="22"/>
            <w:szCs w:val="22"/>
          </w:rPr>
          <w:t>www.bhe.de</w:t>
        </w:r>
      </w:hyperlink>
      <w:r w:rsidRPr="00F47EDB">
        <w:rPr>
          <w:sz w:val="22"/>
          <w:szCs w:val="22"/>
        </w:rPr>
        <w:t xml:space="preserve"> hilft bei der Suche.</w:t>
      </w:r>
    </w:p>
    <w:p w:rsidR="00F47EDB" w:rsidRPr="00F47EDB" w:rsidRDefault="00F47EDB" w:rsidP="00F47EDB">
      <w:pPr>
        <w:suppressAutoHyphens/>
        <w:spacing w:line="360" w:lineRule="auto"/>
        <w:rPr>
          <w:sz w:val="22"/>
          <w:szCs w:val="22"/>
        </w:rPr>
      </w:pPr>
    </w:p>
    <w:p w:rsidR="00BA7D5B" w:rsidRPr="00830A02" w:rsidRDefault="00A52879" w:rsidP="00BA7D5B">
      <w:pPr>
        <w:autoSpaceDE w:val="0"/>
        <w:autoSpaceDN w:val="0"/>
        <w:adjustRightInd w:val="0"/>
        <w:rPr>
          <w:sz w:val="22"/>
          <w:szCs w:val="22"/>
        </w:rPr>
      </w:pPr>
      <w:r>
        <w:rPr>
          <w:sz w:val="22"/>
          <w:szCs w:val="22"/>
        </w:rPr>
        <w:t>2.</w:t>
      </w:r>
      <w:r w:rsidR="00AB5067">
        <w:rPr>
          <w:sz w:val="22"/>
          <w:szCs w:val="22"/>
        </w:rPr>
        <w:t>563</w:t>
      </w:r>
      <w:r w:rsidR="00BA7D5B">
        <w:rPr>
          <w:sz w:val="22"/>
          <w:szCs w:val="22"/>
        </w:rPr>
        <w:t xml:space="preserve"> </w:t>
      </w:r>
      <w:r w:rsidR="00BA7D5B" w:rsidRPr="00830A02">
        <w:rPr>
          <w:sz w:val="22"/>
          <w:szCs w:val="22"/>
        </w:rPr>
        <w:t>Zeichen</w:t>
      </w:r>
    </w:p>
    <w:p w:rsidR="00A52879" w:rsidRDefault="00A52879" w:rsidP="00BA7D5B">
      <w:pPr>
        <w:suppressAutoHyphens/>
        <w:spacing w:line="360" w:lineRule="auto"/>
        <w:rPr>
          <w:b/>
          <w:sz w:val="22"/>
          <w:szCs w:val="22"/>
        </w:rPr>
      </w:pPr>
    </w:p>
    <w:p w:rsidR="00A52879" w:rsidRDefault="00A52879" w:rsidP="00BA7D5B">
      <w:pPr>
        <w:suppressAutoHyphens/>
        <w:spacing w:line="360" w:lineRule="auto"/>
        <w:rPr>
          <w:b/>
          <w:sz w:val="22"/>
          <w:szCs w:val="22"/>
        </w:rPr>
      </w:pPr>
    </w:p>
    <w:p w:rsidR="00BA7D5B" w:rsidRDefault="00BA7D5B" w:rsidP="00BA7D5B">
      <w:pPr>
        <w:suppressAutoHyphens/>
        <w:spacing w:line="360" w:lineRule="auto"/>
        <w:rPr>
          <w:b/>
          <w:sz w:val="22"/>
          <w:szCs w:val="22"/>
        </w:rPr>
      </w:pPr>
      <w:r w:rsidRPr="00830A02">
        <w:rPr>
          <w:b/>
          <w:sz w:val="22"/>
          <w:szCs w:val="22"/>
        </w:rPr>
        <w:t>Bildmaterial:</w:t>
      </w:r>
    </w:p>
    <w:p w:rsidR="005A413E" w:rsidRPr="00830A02" w:rsidRDefault="005A413E" w:rsidP="00BA7D5B">
      <w:pPr>
        <w:suppressAutoHyphens/>
        <w:spacing w:line="360" w:lineRule="auto"/>
        <w:rPr>
          <w:b/>
          <w:sz w:val="22"/>
          <w:szCs w:val="22"/>
        </w:rPr>
      </w:pPr>
    </w:p>
    <w:p w:rsidR="00BA7D5B" w:rsidRDefault="005D7727" w:rsidP="00BA7D5B">
      <w:pPr>
        <w:suppressAutoHyphens/>
        <w:spacing w:line="360" w:lineRule="auto"/>
        <w:rPr>
          <w:sz w:val="22"/>
          <w:szCs w:val="22"/>
        </w:rPr>
      </w:pPr>
      <w:r>
        <w:rPr>
          <w:noProof/>
          <w:sz w:val="22"/>
          <w:szCs w:val="22"/>
          <w:lang w:eastAsia="de-DE"/>
        </w:rPr>
        <w:drawing>
          <wp:inline distT="0" distB="0" distL="0" distR="0">
            <wp:extent cx="2520000" cy="20196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ufbau_Feststellanlage_DIB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0" cy="2019600"/>
                    </a:xfrm>
                    <a:prstGeom prst="rect">
                      <a:avLst/>
                    </a:prstGeom>
                  </pic:spPr>
                </pic:pic>
              </a:graphicData>
            </a:graphic>
          </wp:inline>
        </w:drawing>
      </w:r>
    </w:p>
    <w:p w:rsidR="005A413E" w:rsidRDefault="005A413E" w:rsidP="00BA7D5B">
      <w:pPr>
        <w:suppressAutoHyphens/>
        <w:spacing w:line="360" w:lineRule="auto"/>
        <w:rPr>
          <w:sz w:val="22"/>
          <w:szCs w:val="22"/>
        </w:rPr>
      </w:pPr>
    </w:p>
    <w:p w:rsidR="005D7727" w:rsidRDefault="005D7727" w:rsidP="00BA7D5B">
      <w:pPr>
        <w:suppressAutoHyphens/>
        <w:spacing w:line="360" w:lineRule="auto"/>
        <w:rPr>
          <w:sz w:val="22"/>
          <w:szCs w:val="22"/>
        </w:rPr>
      </w:pPr>
      <w:r>
        <w:rPr>
          <w:sz w:val="22"/>
          <w:szCs w:val="22"/>
        </w:rPr>
        <w:t xml:space="preserve">Eine </w:t>
      </w:r>
      <w:proofErr w:type="spellStart"/>
      <w:r>
        <w:rPr>
          <w:sz w:val="22"/>
          <w:szCs w:val="22"/>
        </w:rPr>
        <w:t>DIBt</w:t>
      </w:r>
      <w:proofErr w:type="spellEnd"/>
      <w:r>
        <w:rPr>
          <w:sz w:val="22"/>
          <w:szCs w:val="22"/>
        </w:rPr>
        <w:t>-k</w:t>
      </w:r>
      <w:r w:rsidR="00C81149">
        <w:rPr>
          <w:sz w:val="22"/>
          <w:szCs w:val="22"/>
        </w:rPr>
        <w:t xml:space="preserve">onforme Feststellanlage </w:t>
      </w:r>
      <w:r>
        <w:rPr>
          <w:sz w:val="22"/>
          <w:szCs w:val="22"/>
        </w:rPr>
        <w:t>besteht aus:</w:t>
      </w:r>
    </w:p>
    <w:p w:rsidR="00C81149" w:rsidRPr="00C81149" w:rsidRDefault="00C81149" w:rsidP="00C81149">
      <w:pPr>
        <w:suppressAutoHyphens/>
        <w:spacing w:line="360" w:lineRule="auto"/>
        <w:rPr>
          <w:sz w:val="22"/>
          <w:szCs w:val="22"/>
        </w:rPr>
      </w:pPr>
      <w:r w:rsidRPr="00C81149">
        <w:rPr>
          <w:sz w:val="22"/>
          <w:szCs w:val="22"/>
        </w:rPr>
        <w:t>(1</w:t>
      </w:r>
      <w:r>
        <w:rPr>
          <w:sz w:val="22"/>
          <w:szCs w:val="22"/>
        </w:rPr>
        <w:t xml:space="preserve">) </w:t>
      </w:r>
      <w:r w:rsidRPr="00C81149">
        <w:rPr>
          <w:sz w:val="22"/>
          <w:szCs w:val="22"/>
        </w:rPr>
        <w:t>Brandmelder an der Decke oder (2) Brandmelder am Stur</w:t>
      </w:r>
      <w:r w:rsidR="005A413E">
        <w:rPr>
          <w:sz w:val="22"/>
          <w:szCs w:val="22"/>
        </w:rPr>
        <w:t xml:space="preserve">z, (3) Feststellvorrichtung, </w:t>
      </w:r>
    </w:p>
    <w:p w:rsidR="005D7727" w:rsidRPr="00C81149" w:rsidRDefault="00C81149" w:rsidP="00C81149">
      <w:pPr>
        <w:suppressAutoHyphens/>
        <w:spacing w:line="360" w:lineRule="auto"/>
        <w:rPr>
          <w:sz w:val="22"/>
          <w:szCs w:val="22"/>
        </w:rPr>
      </w:pPr>
      <w:r w:rsidRPr="00C81149">
        <w:rPr>
          <w:sz w:val="22"/>
          <w:szCs w:val="22"/>
        </w:rPr>
        <w:t>(4)</w:t>
      </w:r>
      <w:r>
        <w:rPr>
          <w:sz w:val="22"/>
          <w:szCs w:val="22"/>
        </w:rPr>
        <w:t xml:space="preserve"> </w:t>
      </w:r>
      <w:r w:rsidR="005A413E">
        <w:rPr>
          <w:sz w:val="22"/>
          <w:szCs w:val="22"/>
        </w:rPr>
        <w:t xml:space="preserve">Auslösevorrichtung und </w:t>
      </w:r>
      <w:r w:rsidR="005A413E" w:rsidRPr="00F47EDB">
        <w:rPr>
          <w:sz w:val="22"/>
          <w:szCs w:val="22"/>
        </w:rPr>
        <w:t>Energieversorgung</w:t>
      </w:r>
      <w:r w:rsidR="005A413E">
        <w:rPr>
          <w:sz w:val="22"/>
          <w:szCs w:val="22"/>
        </w:rPr>
        <w:t>, hier in einem Gerät dargestellt.</w:t>
      </w:r>
    </w:p>
    <w:p w:rsidR="006969FC" w:rsidRDefault="006969FC">
      <w:pPr>
        <w:rPr>
          <w:b/>
          <w:sz w:val="22"/>
          <w:szCs w:val="22"/>
        </w:rPr>
      </w:pPr>
    </w:p>
    <w:p w:rsidR="006969FC" w:rsidRDefault="006969FC" w:rsidP="00BA7D5B">
      <w:pPr>
        <w:spacing w:line="360" w:lineRule="auto"/>
        <w:rPr>
          <w:b/>
          <w:sz w:val="22"/>
          <w:szCs w:val="22"/>
        </w:rPr>
      </w:pPr>
    </w:p>
    <w:p w:rsidR="006969FC" w:rsidRDefault="006969FC" w:rsidP="00BA7D5B">
      <w:pPr>
        <w:spacing w:line="360" w:lineRule="auto"/>
        <w:rPr>
          <w:b/>
          <w:sz w:val="22"/>
          <w:szCs w:val="22"/>
        </w:rPr>
      </w:pPr>
      <w:r>
        <w:rPr>
          <w:b/>
          <w:noProof/>
          <w:sz w:val="22"/>
          <w:szCs w:val="22"/>
          <w:lang w:eastAsia="de-DE"/>
        </w:rPr>
        <w:drawing>
          <wp:inline distT="0" distB="0" distL="0" distR="0" wp14:anchorId="7EC4EC6C" wp14:editId="63AED448">
            <wp:extent cx="2160000" cy="162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iver Ecker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1620000"/>
                    </a:xfrm>
                    <a:prstGeom prst="rect">
                      <a:avLst/>
                    </a:prstGeom>
                  </pic:spPr>
                </pic:pic>
              </a:graphicData>
            </a:graphic>
          </wp:inline>
        </w:drawing>
      </w:r>
    </w:p>
    <w:p w:rsidR="006969FC" w:rsidRDefault="00470F51" w:rsidP="00BA7D5B">
      <w:pPr>
        <w:spacing w:line="360" w:lineRule="auto"/>
        <w:rPr>
          <w:b/>
          <w:sz w:val="22"/>
          <w:szCs w:val="22"/>
        </w:rPr>
      </w:pPr>
      <w:r w:rsidRPr="00F47EDB">
        <w:rPr>
          <w:sz w:val="22"/>
          <w:szCs w:val="22"/>
        </w:rPr>
        <w:t>Oliver Eckerle, Produktmanager Mark</w:t>
      </w:r>
      <w:r>
        <w:rPr>
          <w:sz w:val="22"/>
          <w:szCs w:val="22"/>
        </w:rPr>
        <w:t>t</w:t>
      </w:r>
      <w:r w:rsidR="000E3D44">
        <w:rPr>
          <w:sz w:val="22"/>
          <w:szCs w:val="22"/>
        </w:rPr>
        <w:br/>
        <w:t xml:space="preserve">bei </w:t>
      </w:r>
      <w:r w:rsidR="000E3D44" w:rsidRPr="00F47EDB">
        <w:rPr>
          <w:sz w:val="22"/>
          <w:szCs w:val="22"/>
        </w:rPr>
        <w:t>Hekatron Brandschutz</w:t>
      </w:r>
    </w:p>
    <w:p w:rsidR="006969FC" w:rsidRDefault="006969FC" w:rsidP="00BA7D5B">
      <w:pPr>
        <w:spacing w:line="360" w:lineRule="auto"/>
        <w:rPr>
          <w:b/>
          <w:sz w:val="22"/>
          <w:szCs w:val="22"/>
        </w:rPr>
      </w:pPr>
    </w:p>
    <w:p w:rsidR="00BA7D5B" w:rsidRPr="00830A02" w:rsidRDefault="00BA7D5B" w:rsidP="00BA7D5B">
      <w:pPr>
        <w:spacing w:line="360" w:lineRule="auto"/>
        <w:rPr>
          <w:b/>
          <w:sz w:val="22"/>
          <w:szCs w:val="22"/>
        </w:rPr>
      </w:pPr>
      <w:r w:rsidRPr="00830A02">
        <w:rPr>
          <w:b/>
          <w:sz w:val="22"/>
          <w:szCs w:val="22"/>
        </w:rPr>
        <w:t>Über Hekatron Brandschutz</w:t>
      </w:r>
    </w:p>
    <w:p w:rsidR="00BA7D5B" w:rsidRPr="00830A02" w:rsidRDefault="00BA7D5B" w:rsidP="00BA7D5B">
      <w:pPr>
        <w:spacing w:line="360" w:lineRule="auto"/>
        <w:rPr>
          <w:sz w:val="22"/>
          <w:szCs w:val="22"/>
        </w:rPr>
      </w:pPr>
      <w:r w:rsidRPr="00830A02">
        <w:rPr>
          <w:sz w:val="22"/>
          <w:szCs w:val="22"/>
        </w:rPr>
        <w:t>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engagiert sich für den Umweltschutz. Die Hekatron Unternehmen, Brandschutz und Manufacturing, erwirtschafteten 2017 einen Jahresumsatz von 175 Millionen Euro und beschäftigten 815 Mitarbeitende.</w:t>
      </w:r>
    </w:p>
    <w:p w:rsidR="00BA7D5B" w:rsidRDefault="00BA7D5B" w:rsidP="00BA7D5B">
      <w:pPr>
        <w:spacing w:line="360" w:lineRule="auto"/>
        <w:rPr>
          <w:sz w:val="22"/>
          <w:szCs w:val="22"/>
        </w:rPr>
      </w:pPr>
    </w:p>
    <w:p w:rsidR="00BA7D5B" w:rsidRPr="00830A02" w:rsidRDefault="00BA7D5B" w:rsidP="00BA7D5B">
      <w:pPr>
        <w:spacing w:line="360" w:lineRule="auto"/>
        <w:rPr>
          <w:sz w:val="22"/>
          <w:szCs w:val="22"/>
        </w:rPr>
      </w:pPr>
    </w:p>
    <w:p w:rsidR="00BA7D5B" w:rsidRPr="00830A02" w:rsidRDefault="00BA7D5B" w:rsidP="00BA7D5B">
      <w:pPr>
        <w:rPr>
          <w:sz w:val="22"/>
          <w:szCs w:val="22"/>
        </w:rPr>
      </w:pPr>
      <w:r w:rsidRPr="00830A02">
        <w:rPr>
          <w:b/>
          <w:sz w:val="22"/>
          <w:szCs w:val="22"/>
        </w:rPr>
        <w:t>Pressekontakt:</w:t>
      </w:r>
      <w:r w:rsidRPr="00830A02">
        <w:rPr>
          <w:sz w:val="22"/>
          <w:szCs w:val="22"/>
        </w:rPr>
        <w:br/>
        <w:t>Detlef Solasse</w:t>
      </w:r>
      <w:r w:rsidRPr="00830A02">
        <w:rPr>
          <w:sz w:val="22"/>
          <w:szCs w:val="22"/>
        </w:rPr>
        <w:br/>
        <w:t>Tel: +49 7634 500-213</w:t>
      </w:r>
    </w:p>
    <w:p w:rsidR="00BA7D5B" w:rsidRPr="00830A02" w:rsidRDefault="00BA7D5B" w:rsidP="00BA7D5B">
      <w:pPr>
        <w:rPr>
          <w:sz w:val="22"/>
          <w:szCs w:val="22"/>
        </w:rPr>
      </w:pPr>
      <w:r w:rsidRPr="00830A02">
        <w:rPr>
          <w:sz w:val="22"/>
          <w:szCs w:val="22"/>
        </w:rPr>
        <w:t>sol@hekatron.de</w:t>
      </w:r>
    </w:p>
    <w:p w:rsidR="00BA7D5B" w:rsidRPr="00830A02" w:rsidRDefault="00427C1B" w:rsidP="00BA7D5B">
      <w:pPr>
        <w:rPr>
          <w:sz w:val="22"/>
          <w:szCs w:val="22"/>
        </w:rPr>
      </w:pPr>
      <w:hyperlink r:id="rId10" w:history="1">
        <w:r w:rsidR="00BA7D5B" w:rsidRPr="00830A02">
          <w:rPr>
            <w:rStyle w:val="Hyperlink"/>
            <w:sz w:val="22"/>
            <w:szCs w:val="22"/>
          </w:rPr>
          <w:t>www.hekatron-brandschutz.de/presse</w:t>
        </w:r>
      </w:hyperlink>
    </w:p>
    <w:p w:rsidR="00EF4E91" w:rsidRPr="00880B1B" w:rsidRDefault="00EF4E91" w:rsidP="0096539B">
      <w:pPr>
        <w:pStyle w:val="AufzhlungenalsGestaltungselement"/>
        <w:numPr>
          <w:ilvl w:val="0"/>
          <w:numId w:val="0"/>
        </w:numPr>
        <w:ind w:left="142" w:hanging="142"/>
        <w:rPr>
          <w:rStyle w:val="Zitate-emotionaleTypoZchn"/>
          <w:rFonts w:ascii="Arial" w:hAnsi="Arial"/>
          <w:caps w:val="0"/>
          <w:color w:val="auto"/>
          <w:sz w:val="20"/>
          <w:szCs w:val="20"/>
          <w:u w:val="none"/>
        </w:rPr>
      </w:pPr>
    </w:p>
    <w:sectPr w:rsidR="00EF4E91" w:rsidRPr="00880B1B" w:rsidSect="0096539B">
      <w:headerReference w:type="default" r:id="rId11"/>
      <w:footerReference w:type="default" r:id="rId12"/>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D5B" w:rsidRDefault="00BA7D5B" w:rsidP="002A27E2">
      <w:r>
        <w:separator/>
      </w:r>
    </w:p>
  </w:endnote>
  <w:endnote w:type="continuationSeparator" w:id="0">
    <w:p w:rsidR="00BA7D5B" w:rsidRDefault="00BA7D5B"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6D1" w:rsidRDefault="00DD76D1">
    <w:pPr>
      <w:pStyle w:val="Fuzeile"/>
    </w:pPr>
    <w:r>
      <w:rPr>
        <w:noProof/>
        <w:lang w:eastAsia="de-DE"/>
      </w:rPr>
      <w:drawing>
        <wp:anchor distT="0" distB="0" distL="114300" distR="114300" simplePos="0" relativeHeight="251660288" behindDoc="1" locked="0" layoutInCell="1" allowOverlap="1">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D5B" w:rsidRDefault="00BA7D5B" w:rsidP="002A27E2">
      <w:r>
        <w:separator/>
      </w:r>
    </w:p>
  </w:footnote>
  <w:footnote w:type="continuationSeparator" w:id="0">
    <w:p w:rsidR="00BA7D5B" w:rsidRDefault="00BA7D5B"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7E2" w:rsidRDefault="00A025ED">
    <w:pPr>
      <w:pStyle w:val="Kopfzeile"/>
    </w:pPr>
    <w:r>
      <w:rPr>
        <w:noProof/>
        <w:lang w:eastAsia="de-DE"/>
      </w:rPr>
      <w:drawing>
        <wp:anchor distT="0" distB="0" distL="114300" distR="114300" simplePos="0" relativeHeight="251659264" behindDoc="1" locked="1" layoutInCell="1" allowOverlap="1">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2"/>
  </w:num>
  <w:num w:numId="4">
    <w:abstractNumId w:val="0"/>
  </w:num>
  <w:num w:numId="5">
    <w:abstractNumId w:val="3"/>
  </w:num>
  <w:num w:numId="6">
    <w:abstractNumId w:val="11"/>
  </w:num>
  <w:num w:numId="7">
    <w:abstractNumId w:val="7"/>
  </w:num>
  <w:num w:numId="8">
    <w:abstractNumId w:val="2"/>
  </w:num>
  <w:num w:numId="9">
    <w:abstractNumId w:val="5"/>
  </w:num>
  <w:num w:numId="10">
    <w:abstractNumId w:val="4"/>
  </w:num>
  <w:num w:numId="11">
    <w:abstractNumId w:val="13"/>
  </w:num>
  <w:num w:numId="12">
    <w:abstractNumId w:val="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50C86"/>
    <w:rsid w:val="000E3D44"/>
    <w:rsid w:val="0011492C"/>
    <w:rsid w:val="001C213A"/>
    <w:rsid w:val="002202FA"/>
    <w:rsid w:val="002A27E2"/>
    <w:rsid w:val="003E40FF"/>
    <w:rsid w:val="00427C1B"/>
    <w:rsid w:val="00441324"/>
    <w:rsid w:val="004433C9"/>
    <w:rsid w:val="00470F51"/>
    <w:rsid w:val="004878A9"/>
    <w:rsid w:val="00494C5A"/>
    <w:rsid w:val="005A413E"/>
    <w:rsid w:val="005D7727"/>
    <w:rsid w:val="00672CB8"/>
    <w:rsid w:val="006969FC"/>
    <w:rsid w:val="0073431D"/>
    <w:rsid w:val="007C1E55"/>
    <w:rsid w:val="00880B1B"/>
    <w:rsid w:val="0090557E"/>
    <w:rsid w:val="0096539B"/>
    <w:rsid w:val="00983A75"/>
    <w:rsid w:val="00985F7C"/>
    <w:rsid w:val="00A025ED"/>
    <w:rsid w:val="00A52879"/>
    <w:rsid w:val="00AB5067"/>
    <w:rsid w:val="00AD1B41"/>
    <w:rsid w:val="00B722B7"/>
    <w:rsid w:val="00BA7D5B"/>
    <w:rsid w:val="00C025F2"/>
    <w:rsid w:val="00C22471"/>
    <w:rsid w:val="00C81149"/>
    <w:rsid w:val="00CD1D32"/>
    <w:rsid w:val="00DD76D1"/>
    <w:rsid w:val="00ED1217"/>
    <w:rsid w:val="00EF4E91"/>
    <w:rsid w:val="00F47EDB"/>
    <w:rsid w:val="00FE1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8C5A32"/>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semiHidden/>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he.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ekatron-brandschutz.de/press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V:\MSOFFICE\WINWORD\VORLAGEN.O07\Brandschutz\Blankovorlage%20Brandschutz%20Logo,%20Claim,%20Bm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Blankovorlage Brandschutz Logo, Claim, BmiG</Template>
  <TotalTime>0</TotalTime>
  <Pages>3</Pages>
  <Words>515</Words>
  <Characters>3251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Solasse Detlef</cp:lastModifiedBy>
  <cp:revision>8</cp:revision>
  <cp:lastPrinted>2019-02-05T14:33:00Z</cp:lastPrinted>
  <dcterms:created xsi:type="dcterms:W3CDTF">2019-03-29T11:48:00Z</dcterms:created>
  <dcterms:modified xsi:type="dcterms:W3CDTF">2019-04-02T09:47:00Z</dcterms:modified>
</cp:coreProperties>
</file>